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C365F" w14:textId="77777777" w:rsidR="00506C15" w:rsidRPr="00506C15" w:rsidRDefault="00506C15" w:rsidP="00B36388">
      <w:pPr>
        <w:pStyle w:val="Heading1"/>
      </w:pPr>
      <w:r w:rsidRPr="00506C15">
        <w:t>2026 GW4 Open Research Prizes </w:t>
      </w:r>
    </w:p>
    <w:p w14:paraId="034EAE36" w14:textId="77777777" w:rsidR="00506C15" w:rsidRPr="00506C15" w:rsidRDefault="00506C15" w:rsidP="00506C15">
      <w:r w:rsidRPr="00506C15">
        <w:t>The 2026 GW4 Open Research Prizes recognise and reward researchers who have used open practices throughout the research process to make research more accessible, transparent and reproducible.</w:t>
      </w:r>
      <w:r w:rsidRPr="00506C15">
        <w:rPr>
          <w:rFonts w:ascii="Arial" w:hAnsi="Arial" w:cs="Arial"/>
        </w:rPr>
        <w:t> </w:t>
      </w:r>
      <w:r w:rsidRPr="00506C15">
        <w:t xml:space="preserve"> A prize of </w:t>
      </w:r>
      <w:r w:rsidRPr="00506C15">
        <w:rPr>
          <w:rFonts w:ascii="Aptos" w:hAnsi="Aptos" w:cs="Aptos"/>
        </w:rPr>
        <w:t>£</w:t>
      </w:r>
      <w:r w:rsidRPr="00506C15">
        <w:t>250 per category will be awarded.</w:t>
      </w:r>
      <w:r w:rsidRPr="00506C15">
        <w:rPr>
          <w:rFonts w:ascii="Aptos" w:hAnsi="Aptos" w:cs="Aptos"/>
        </w:rPr>
        <w:t> </w:t>
      </w:r>
      <w:r w:rsidRPr="00506C15">
        <w:t> </w:t>
      </w:r>
    </w:p>
    <w:p w14:paraId="7C7DFCF8" w14:textId="77777777" w:rsidR="00506C15" w:rsidRPr="00506C15" w:rsidRDefault="00506C15" w:rsidP="00506C15">
      <w:r w:rsidRPr="00506C15">
        <w:t xml:space="preserve">To recognise the importance of open research practices in every stage of research career, separate prizes for Early Career Researchers and Research Enablers are being offered this year. Each prize will be judged based on the same criteria, with certain categories being weighted </w:t>
      </w:r>
      <w:proofErr w:type="gramStart"/>
      <w:r w:rsidRPr="00506C15">
        <w:t>more or less depending</w:t>
      </w:r>
      <w:proofErr w:type="gramEnd"/>
      <w:r w:rsidRPr="00506C15">
        <w:t xml:space="preserve"> on the prize category.  </w:t>
      </w:r>
    </w:p>
    <w:p w14:paraId="085EAE82" w14:textId="77777777" w:rsidR="00506C15" w:rsidRPr="00506C15" w:rsidRDefault="00506C15" w:rsidP="00506C15">
      <w:r w:rsidRPr="00506C15">
        <w:t>A shortlist for the GW4 Open Research Prizes will be identified by the end of March 2026 and all shortlisted applicants will be asked to share a short summary of their application either via a pre-recorded video or live presentation at the virtual awards event during GW4 Open Research Week 2026 (20-24 April 2026) </w:t>
      </w:r>
    </w:p>
    <w:p w14:paraId="335977BC" w14:textId="77777777" w:rsidR="00506C15" w:rsidRDefault="00506C15" w:rsidP="00506C15">
      <w:r w:rsidRPr="00506C15">
        <w:rPr>
          <w:b/>
          <w:bCs/>
        </w:rPr>
        <w:t xml:space="preserve">Applications close 5pm on 20 February 2026. </w:t>
      </w:r>
      <w:r w:rsidRPr="00506C15">
        <w:t> </w:t>
      </w:r>
    </w:p>
    <w:p w14:paraId="3C3D368B" w14:textId="77777777" w:rsidR="00B36388" w:rsidRPr="00506C15" w:rsidRDefault="00B36388" w:rsidP="00506C15"/>
    <w:p w14:paraId="0A533E38" w14:textId="77777777" w:rsidR="00506C15" w:rsidRPr="00506C15" w:rsidRDefault="00506C15" w:rsidP="00506C15">
      <w:pPr>
        <w:pStyle w:val="Heading3"/>
      </w:pPr>
      <w:r w:rsidRPr="00506C15">
        <w:t>Prize categories and eligibility </w:t>
      </w:r>
    </w:p>
    <w:p w14:paraId="3686926E" w14:textId="77777777" w:rsidR="00506C15" w:rsidRPr="00506C15" w:rsidRDefault="00506C15" w:rsidP="00506C15">
      <w:r w:rsidRPr="00506C15">
        <w:rPr>
          <w:u w:val="single"/>
        </w:rPr>
        <w:t>The primary contact for any application must confirm that they have a contract with one of the four GW4 Alliance Universities until end of April 2026.</w:t>
      </w:r>
      <w:r w:rsidRPr="00506C15">
        <w:t> </w:t>
      </w:r>
    </w:p>
    <w:p w14:paraId="63AC669E" w14:textId="77777777" w:rsidR="00506C15" w:rsidRPr="00506C15" w:rsidRDefault="00506C15" w:rsidP="00506C15">
      <w:pPr>
        <w:numPr>
          <w:ilvl w:val="0"/>
          <w:numId w:val="21"/>
        </w:numPr>
      </w:pPr>
      <w:r w:rsidRPr="00506C15">
        <w:rPr>
          <w:b/>
          <w:bCs/>
        </w:rPr>
        <w:t>GW4 Open Research Prize</w:t>
      </w:r>
      <w:r w:rsidRPr="00506C15">
        <w:t>: Open to all individuals and teams who have utilised Open Research practices and principles within a research project or initiative. </w:t>
      </w:r>
    </w:p>
    <w:p w14:paraId="67E9A160" w14:textId="77777777" w:rsidR="00506C15" w:rsidRPr="00506C15" w:rsidRDefault="00506C15" w:rsidP="00506C15">
      <w:pPr>
        <w:numPr>
          <w:ilvl w:val="0"/>
          <w:numId w:val="22"/>
        </w:numPr>
      </w:pPr>
      <w:r w:rsidRPr="00506C15">
        <w:rPr>
          <w:b/>
          <w:bCs/>
        </w:rPr>
        <w:t>GW4 Open Research Prize for Early Career Researchers</w:t>
      </w:r>
      <w:r w:rsidRPr="00506C15">
        <w:t>: Open to individuals who consider themselves “Early Career Researchers” (ECRs) and have demonstrated individual contributions to open research practices and principles within the research process. An ECR may hold a post-graduate or post-doctoral position, early career fellowship, lectureships/assistant professorship, or equivalent. Applications from individuals who hold a permanent academic position (e.g., a tenured position) will not be considered in this category.</w:t>
      </w:r>
      <w:r w:rsidRPr="00506C15">
        <w:rPr>
          <w:rFonts w:ascii="Arial" w:hAnsi="Arial" w:cs="Arial"/>
        </w:rPr>
        <w:t> </w:t>
      </w:r>
      <w:r w:rsidRPr="00506C15">
        <w:t> </w:t>
      </w:r>
    </w:p>
    <w:p w14:paraId="08E0C1E3" w14:textId="77777777" w:rsidR="00506C15" w:rsidRPr="00506C15" w:rsidRDefault="00506C15" w:rsidP="00506C15">
      <w:pPr>
        <w:numPr>
          <w:ilvl w:val="0"/>
          <w:numId w:val="23"/>
        </w:numPr>
      </w:pPr>
      <w:r w:rsidRPr="00506C15">
        <w:rPr>
          <w:b/>
          <w:bCs/>
        </w:rPr>
        <w:t>GW4 Open Research Prize for Research Enablers</w:t>
      </w:r>
      <w:r w:rsidRPr="00506C15">
        <w:t>: Open to individuals or teams who support open research in any stage of the research process. Research Enablers (REs) will generally be professional research support staff who do not hold a post-doctoral position, early career fellowship, lectureships/assistant professorship, tenured position or equivalent.</w:t>
      </w:r>
      <w:r w:rsidRPr="00506C15">
        <w:rPr>
          <w:rFonts w:ascii="Arial" w:hAnsi="Arial" w:cs="Arial"/>
        </w:rPr>
        <w:t> </w:t>
      </w:r>
      <w:r w:rsidRPr="00506C15">
        <w:t> </w:t>
      </w:r>
    </w:p>
    <w:p w14:paraId="317AC50F" w14:textId="77777777" w:rsidR="00506C15" w:rsidRPr="00506C15" w:rsidRDefault="00506C15" w:rsidP="00506C15">
      <w:r w:rsidRPr="00506C15">
        <w:t xml:space="preserve">Applicants are welcome to enter more than one category provided each application is distinct – for example, a post-doctoral researcher may be a member of a larger team submitting to the GW4 Open Research Prize but may also choose to submit to the GW4 </w:t>
      </w:r>
      <w:r w:rsidRPr="00506C15">
        <w:lastRenderedPageBreak/>
        <w:t>Open Research Prize for Early Career Researchers, highlighting their actions using open practices in the research process. </w:t>
      </w:r>
    </w:p>
    <w:p w14:paraId="4DE68EA4" w14:textId="77777777" w:rsidR="00506C15" w:rsidRDefault="00506C15" w:rsidP="00506C15">
      <w:r w:rsidRPr="00506C15">
        <w:t>Research projects that produce traditional publications and diverse output types (e.g. software, exhibitions) are welcomed to be submitted for consideration.</w:t>
      </w:r>
      <w:r w:rsidRPr="00506C15">
        <w:rPr>
          <w:rFonts w:ascii="Arial" w:hAnsi="Arial" w:cs="Arial"/>
        </w:rPr>
        <w:t> </w:t>
      </w:r>
      <w:r w:rsidRPr="00506C15">
        <w:t> </w:t>
      </w:r>
    </w:p>
    <w:p w14:paraId="3C3CDABE" w14:textId="77777777" w:rsidR="00B36388" w:rsidRPr="00506C15" w:rsidRDefault="00B36388" w:rsidP="00506C15"/>
    <w:p w14:paraId="20FAFA47" w14:textId="77777777" w:rsidR="00506C15" w:rsidRPr="00506C15" w:rsidRDefault="00506C15" w:rsidP="00506C15">
      <w:pPr>
        <w:pStyle w:val="Heading3"/>
      </w:pPr>
      <w:r w:rsidRPr="00506C15">
        <w:t>Application Instructions </w:t>
      </w:r>
    </w:p>
    <w:p w14:paraId="57604152" w14:textId="77777777" w:rsidR="00506C15" w:rsidRPr="00506C15" w:rsidRDefault="00506C15" w:rsidP="00506C15">
      <w:r w:rsidRPr="00506C15">
        <w:t>Applications for any variant of the GW4 Open Research Prize should provide:</w:t>
      </w:r>
      <w:r w:rsidRPr="00506C15">
        <w:rPr>
          <w:rFonts w:ascii="Arial" w:hAnsi="Arial" w:cs="Arial"/>
        </w:rPr>
        <w:t> </w:t>
      </w:r>
      <w:r w:rsidRPr="00506C15">
        <w:t> </w:t>
      </w:r>
    </w:p>
    <w:p w14:paraId="22B6C43A" w14:textId="77777777" w:rsidR="00506C15" w:rsidRPr="00506C15" w:rsidRDefault="00506C15" w:rsidP="00506C15">
      <w:pPr>
        <w:numPr>
          <w:ilvl w:val="0"/>
          <w:numId w:val="24"/>
        </w:numPr>
        <w:spacing w:after="0"/>
      </w:pPr>
      <w:r w:rsidRPr="00506C15">
        <w:t>A summary of the research project or programme. </w:t>
      </w:r>
    </w:p>
    <w:p w14:paraId="5892ABF4" w14:textId="77777777" w:rsidR="00506C15" w:rsidRPr="00506C15" w:rsidRDefault="00506C15" w:rsidP="00506C15">
      <w:pPr>
        <w:numPr>
          <w:ilvl w:val="0"/>
          <w:numId w:val="25"/>
        </w:numPr>
        <w:spacing w:after="0"/>
      </w:pPr>
      <w:r w:rsidRPr="00506C15">
        <w:t>Evidence that open research principles have been utilised in the design of the research project and dissemination of research outputs. </w:t>
      </w:r>
    </w:p>
    <w:p w14:paraId="0DDB830A" w14:textId="77777777" w:rsidR="00506C15" w:rsidRPr="00506C15" w:rsidRDefault="00506C15" w:rsidP="00506C15">
      <w:pPr>
        <w:numPr>
          <w:ilvl w:val="0"/>
          <w:numId w:val="26"/>
        </w:numPr>
        <w:spacing w:after="0"/>
      </w:pPr>
      <w:r w:rsidRPr="00506C15">
        <w:t>Evidence of open research practices leading to extended reach of research. </w:t>
      </w:r>
    </w:p>
    <w:p w14:paraId="393ED07A" w14:textId="77777777" w:rsidR="00506C15" w:rsidRPr="00506C15" w:rsidRDefault="00506C15" w:rsidP="00506C15">
      <w:pPr>
        <w:numPr>
          <w:ilvl w:val="0"/>
          <w:numId w:val="27"/>
        </w:numPr>
        <w:spacing w:after="0"/>
      </w:pPr>
      <w:r w:rsidRPr="00506C15">
        <w:t>A reflection on how open research practices have improved recognition of all roles within the research process and contributed to positive research culture. </w:t>
      </w:r>
    </w:p>
    <w:p w14:paraId="39D0BADA" w14:textId="77777777" w:rsidR="00506C15" w:rsidRPr="00506C15" w:rsidRDefault="00506C15" w:rsidP="00506C15">
      <w:pPr>
        <w:numPr>
          <w:ilvl w:val="0"/>
          <w:numId w:val="28"/>
        </w:numPr>
      </w:pPr>
      <w:r w:rsidRPr="00506C15">
        <w:t>Full criteria are available here [LINK to rubric].</w:t>
      </w:r>
      <w:r w:rsidRPr="00506C15">
        <w:rPr>
          <w:rFonts w:ascii="Arial" w:hAnsi="Arial" w:cs="Arial"/>
        </w:rPr>
        <w:t>  </w:t>
      </w:r>
      <w:r w:rsidRPr="00506C15">
        <w:t> </w:t>
      </w:r>
    </w:p>
    <w:p w14:paraId="179D1191" w14:textId="77777777" w:rsidR="00506C15" w:rsidRPr="00506C15" w:rsidRDefault="00506C15" w:rsidP="00506C15">
      <w:r w:rsidRPr="00506C15">
        <w:t>Submissions will be scored on the clarity of description and the extent to which open research practices have been incorporated into the research process. The panel will also consider evidence of supporting positive research culture through open research practices.</w:t>
      </w:r>
      <w:r w:rsidRPr="00506C15">
        <w:rPr>
          <w:rFonts w:ascii="Arial" w:hAnsi="Arial" w:cs="Arial"/>
        </w:rPr>
        <w:t> </w:t>
      </w:r>
      <w:r w:rsidRPr="00506C15">
        <w:t> </w:t>
      </w:r>
    </w:p>
    <w:p w14:paraId="7FB7AF61" w14:textId="77777777" w:rsidR="00506C15" w:rsidRPr="00506C15" w:rsidRDefault="00506C15" w:rsidP="00506C15">
      <w:r w:rsidRPr="00506C15">
        <w:t>There is a 1500-word limit.  </w:t>
      </w:r>
    </w:p>
    <w:p w14:paraId="44D015EC" w14:textId="77777777" w:rsidR="00506C15" w:rsidRPr="00506C15" w:rsidRDefault="00506C15" w:rsidP="00506C15">
      <w:r w:rsidRPr="00506C15">
        <w:t>Examples of elements that may be included in a submission are below. Please note that this list is not exhaustive and applicants are encouraged to include any elements they feel best illustrate their use of open practices. </w:t>
      </w:r>
    </w:p>
    <w:p w14:paraId="7DE5D7F8" w14:textId="77777777" w:rsidR="00506C15" w:rsidRPr="00506C15" w:rsidRDefault="00506C15" w:rsidP="00506C15">
      <w:pPr>
        <w:numPr>
          <w:ilvl w:val="0"/>
          <w:numId w:val="29"/>
        </w:numPr>
        <w:spacing w:after="0"/>
      </w:pPr>
      <w:r w:rsidRPr="00506C15">
        <w:t>Publication of research under an open license.</w:t>
      </w:r>
      <w:r w:rsidRPr="00506C15">
        <w:rPr>
          <w:rFonts w:ascii="Arial" w:hAnsi="Arial" w:cs="Arial"/>
        </w:rPr>
        <w:t> </w:t>
      </w:r>
      <w:r w:rsidRPr="00506C15">
        <w:t> </w:t>
      </w:r>
    </w:p>
    <w:p w14:paraId="759B521B" w14:textId="77777777" w:rsidR="00506C15" w:rsidRPr="00506C15" w:rsidRDefault="00506C15" w:rsidP="00506C15">
      <w:pPr>
        <w:numPr>
          <w:ilvl w:val="0"/>
          <w:numId w:val="30"/>
        </w:numPr>
        <w:spacing w:after="0"/>
      </w:pPr>
      <w:r w:rsidRPr="00506C15">
        <w:t>Dissemination of research as a pre-print.</w:t>
      </w:r>
      <w:r w:rsidRPr="00506C15">
        <w:rPr>
          <w:rFonts w:ascii="Arial" w:hAnsi="Arial" w:cs="Arial"/>
        </w:rPr>
        <w:t> </w:t>
      </w:r>
      <w:r w:rsidRPr="00506C15">
        <w:t> </w:t>
      </w:r>
    </w:p>
    <w:p w14:paraId="62A9D051" w14:textId="77777777" w:rsidR="00506C15" w:rsidRPr="00506C15" w:rsidRDefault="00506C15" w:rsidP="00506C15">
      <w:pPr>
        <w:numPr>
          <w:ilvl w:val="0"/>
          <w:numId w:val="31"/>
        </w:numPr>
        <w:spacing w:after="0"/>
      </w:pPr>
      <w:r w:rsidRPr="00506C15">
        <w:t>Publication of study design as a Registered Report.</w:t>
      </w:r>
      <w:r w:rsidRPr="00506C15">
        <w:rPr>
          <w:rFonts w:ascii="Arial" w:hAnsi="Arial" w:cs="Arial"/>
        </w:rPr>
        <w:t> </w:t>
      </w:r>
      <w:r w:rsidRPr="00506C15">
        <w:t> </w:t>
      </w:r>
    </w:p>
    <w:p w14:paraId="27A98CAB" w14:textId="77777777" w:rsidR="00506C15" w:rsidRPr="00506C15" w:rsidRDefault="00506C15" w:rsidP="00506C15">
      <w:pPr>
        <w:numPr>
          <w:ilvl w:val="0"/>
          <w:numId w:val="32"/>
        </w:numPr>
        <w:spacing w:after="0"/>
      </w:pPr>
      <w:r w:rsidRPr="00506C15">
        <w:t>Use of Research Data Management Plans.</w:t>
      </w:r>
      <w:r w:rsidRPr="00506C15">
        <w:rPr>
          <w:rFonts w:ascii="Arial" w:hAnsi="Arial" w:cs="Arial"/>
        </w:rPr>
        <w:t> </w:t>
      </w:r>
      <w:r w:rsidRPr="00506C15">
        <w:t> </w:t>
      </w:r>
    </w:p>
    <w:p w14:paraId="2E863C69" w14:textId="77777777" w:rsidR="00506C15" w:rsidRPr="00506C15" w:rsidRDefault="00506C15" w:rsidP="00506C15">
      <w:pPr>
        <w:numPr>
          <w:ilvl w:val="0"/>
          <w:numId w:val="33"/>
        </w:numPr>
        <w:spacing w:after="0"/>
      </w:pPr>
      <w:r w:rsidRPr="00506C15">
        <w:t>Application of FAIR data principles in handling of research data </w:t>
      </w:r>
    </w:p>
    <w:p w14:paraId="6EC85C23" w14:textId="77777777" w:rsidR="00506C15" w:rsidRPr="00506C15" w:rsidRDefault="00506C15" w:rsidP="00506C15">
      <w:pPr>
        <w:numPr>
          <w:ilvl w:val="0"/>
          <w:numId w:val="34"/>
        </w:numPr>
        <w:spacing w:after="0"/>
      </w:pPr>
      <w:r w:rsidRPr="00506C15">
        <w:t>Use of research methods that incorporate an open design (e.g. participatory methods or citizen science).</w:t>
      </w:r>
      <w:r w:rsidRPr="00506C15">
        <w:rPr>
          <w:rFonts w:ascii="Arial" w:hAnsi="Arial" w:cs="Arial"/>
        </w:rPr>
        <w:t> </w:t>
      </w:r>
      <w:r w:rsidRPr="00506C15">
        <w:t> </w:t>
      </w:r>
    </w:p>
    <w:p w14:paraId="17839C4F" w14:textId="77777777" w:rsidR="00506C15" w:rsidRPr="00506C15" w:rsidRDefault="00506C15" w:rsidP="00506C15">
      <w:pPr>
        <w:numPr>
          <w:ilvl w:val="0"/>
          <w:numId w:val="35"/>
        </w:numPr>
        <w:spacing w:after="0"/>
      </w:pPr>
      <w:r w:rsidRPr="00506C15">
        <w:t>Inclusion of open research or FAIR data provisions in a Participant Information Sheet </w:t>
      </w:r>
    </w:p>
    <w:p w14:paraId="2F104443" w14:textId="77777777" w:rsidR="00506C15" w:rsidRPr="00506C15" w:rsidRDefault="00506C15" w:rsidP="00506C15">
      <w:pPr>
        <w:numPr>
          <w:ilvl w:val="0"/>
          <w:numId w:val="36"/>
        </w:numPr>
        <w:spacing w:after="0"/>
      </w:pPr>
      <w:r w:rsidRPr="00506C15">
        <w:t>Creating processes, protocols, or workflows that facilitate open research and re-use of research outputs in your own work, research team, lab, or department or discipline.</w:t>
      </w:r>
      <w:r w:rsidRPr="00506C15">
        <w:rPr>
          <w:rFonts w:ascii="Arial" w:hAnsi="Arial" w:cs="Arial"/>
        </w:rPr>
        <w:t> </w:t>
      </w:r>
      <w:r w:rsidRPr="00506C15">
        <w:t> </w:t>
      </w:r>
    </w:p>
    <w:p w14:paraId="1E1795B5" w14:textId="77777777" w:rsidR="00506C15" w:rsidRPr="00506C15" w:rsidRDefault="00506C15" w:rsidP="00506C15">
      <w:pPr>
        <w:numPr>
          <w:ilvl w:val="0"/>
          <w:numId w:val="37"/>
        </w:numPr>
        <w:spacing w:after="0"/>
      </w:pPr>
      <w:r w:rsidRPr="00506C15">
        <w:t>Recognition of all roles in the research process. </w:t>
      </w:r>
    </w:p>
    <w:p w14:paraId="09D712A7" w14:textId="77777777" w:rsidR="00506C15" w:rsidRPr="00506C15" w:rsidRDefault="00506C15" w:rsidP="00506C15">
      <w:pPr>
        <w:numPr>
          <w:ilvl w:val="0"/>
          <w:numId w:val="38"/>
        </w:numPr>
        <w:spacing w:after="0"/>
      </w:pPr>
      <w:r w:rsidRPr="00506C15">
        <w:t>Benefit of openness on reach or impact of research results, or on the wider “success” of the research (e.g. recognition, follow-up funding, etc).</w:t>
      </w:r>
      <w:r w:rsidRPr="00506C15">
        <w:rPr>
          <w:rFonts w:ascii="Arial" w:hAnsi="Arial" w:cs="Arial"/>
        </w:rPr>
        <w:t> </w:t>
      </w:r>
      <w:r w:rsidRPr="00506C15">
        <w:t> </w:t>
      </w:r>
    </w:p>
    <w:p w14:paraId="1AF3589A" w14:textId="77777777" w:rsidR="00506C15" w:rsidRPr="00506C15" w:rsidRDefault="00506C15" w:rsidP="00506C15">
      <w:pPr>
        <w:numPr>
          <w:ilvl w:val="0"/>
          <w:numId w:val="39"/>
        </w:numPr>
        <w:spacing w:after="0"/>
      </w:pPr>
      <w:r w:rsidRPr="00506C15">
        <w:lastRenderedPageBreak/>
        <w:t>Promoting or advocating open research practices in your research team, lab, department or discipline.</w:t>
      </w:r>
      <w:r w:rsidRPr="00506C15">
        <w:rPr>
          <w:rFonts w:ascii="Arial" w:hAnsi="Arial" w:cs="Arial"/>
        </w:rPr>
        <w:t> </w:t>
      </w:r>
      <w:r w:rsidRPr="00506C15">
        <w:t> </w:t>
      </w:r>
    </w:p>
    <w:p w14:paraId="049ACDD0" w14:textId="77777777" w:rsidR="00506C15" w:rsidRPr="00506C15" w:rsidRDefault="00506C15" w:rsidP="00506C15">
      <w:pPr>
        <w:numPr>
          <w:ilvl w:val="0"/>
          <w:numId w:val="40"/>
        </w:numPr>
        <w:spacing w:after="0"/>
      </w:pPr>
      <w:r w:rsidRPr="00506C15">
        <w:t>Implementing, enabling or supporting any of the above as a research enabler.</w:t>
      </w:r>
      <w:r w:rsidRPr="00506C15">
        <w:rPr>
          <w:rFonts w:ascii="Arial" w:hAnsi="Arial" w:cs="Arial"/>
        </w:rPr>
        <w:t> </w:t>
      </w:r>
      <w:r w:rsidRPr="00506C15">
        <w:t> </w:t>
      </w:r>
    </w:p>
    <w:p w14:paraId="41D64B13" w14:textId="77777777" w:rsidR="00506C15" w:rsidRPr="00506C15" w:rsidRDefault="00506C15" w:rsidP="00506C15">
      <w:r w:rsidRPr="00506C15">
        <w:t> </w:t>
      </w:r>
    </w:p>
    <w:p w14:paraId="550AFFAD" w14:textId="77777777" w:rsidR="00506C15" w:rsidRPr="00506C15" w:rsidRDefault="00506C15" w:rsidP="00506C15">
      <w:pPr>
        <w:pStyle w:val="Heading3"/>
      </w:pPr>
      <w:r w:rsidRPr="00506C15">
        <w:t>Judging Criteria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70"/>
        <w:gridCol w:w="4845"/>
        <w:gridCol w:w="1050"/>
        <w:gridCol w:w="990"/>
        <w:gridCol w:w="945"/>
      </w:tblGrid>
      <w:tr w:rsidR="00506C15" w:rsidRPr="00506C15" w14:paraId="2D239773" w14:textId="77777777">
        <w:trPr>
          <w:trHeight w:val="300"/>
        </w:trPr>
        <w:tc>
          <w:tcPr>
            <w:tcW w:w="1170" w:type="dxa"/>
            <w:tcBorders>
              <w:top w:val="nil"/>
              <w:left w:val="nil"/>
              <w:bottom w:val="single" w:sz="6" w:space="0" w:color="auto"/>
              <w:right w:val="nil"/>
            </w:tcBorders>
            <w:hideMark/>
          </w:tcPr>
          <w:p w14:paraId="21FF7FA5" w14:textId="77777777" w:rsidR="00506C15" w:rsidRPr="00506C15" w:rsidRDefault="00506C15" w:rsidP="00506C15">
            <w:r w:rsidRPr="00506C15">
              <w:t> </w:t>
            </w:r>
          </w:p>
        </w:tc>
        <w:tc>
          <w:tcPr>
            <w:tcW w:w="4845" w:type="dxa"/>
            <w:tcBorders>
              <w:top w:val="nil"/>
              <w:left w:val="nil"/>
              <w:bottom w:val="single" w:sz="6" w:space="0" w:color="auto"/>
              <w:right w:val="single" w:sz="6" w:space="0" w:color="auto"/>
            </w:tcBorders>
            <w:hideMark/>
          </w:tcPr>
          <w:p w14:paraId="61D090B7" w14:textId="77777777" w:rsidR="00506C15" w:rsidRPr="00506C15" w:rsidRDefault="00506C15" w:rsidP="00506C15">
            <w:r w:rsidRPr="00506C15">
              <w:t> </w:t>
            </w:r>
          </w:p>
        </w:tc>
        <w:tc>
          <w:tcPr>
            <w:tcW w:w="2985" w:type="dxa"/>
            <w:gridSpan w:val="3"/>
            <w:tcBorders>
              <w:top w:val="single" w:sz="6" w:space="0" w:color="auto"/>
              <w:left w:val="single" w:sz="6" w:space="0" w:color="auto"/>
              <w:bottom w:val="single" w:sz="6" w:space="0" w:color="auto"/>
              <w:right w:val="single" w:sz="6" w:space="0" w:color="auto"/>
            </w:tcBorders>
            <w:hideMark/>
          </w:tcPr>
          <w:p w14:paraId="194CAA07" w14:textId="77777777" w:rsidR="00506C15" w:rsidRPr="00506C15" w:rsidRDefault="00506C15" w:rsidP="00506C15">
            <w:r w:rsidRPr="00506C15">
              <w:t>Weighting per prize </w:t>
            </w:r>
          </w:p>
        </w:tc>
      </w:tr>
      <w:tr w:rsidR="00506C15" w:rsidRPr="00506C15" w14:paraId="77B676E8" w14:textId="77777777">
        <w:trPr>
          <w:trHeight w:val="300"/>
        </w:trPr>
        <w:tc>
          <w:tcPr>
            <w:tcW w:w="1170" w:type="dxa"/>
            <w:tcBorders>
              <w:top w:val="single" w:sz="6" w:space="0" w:color="auto"/>
              <w:left w:val="single" w:sz="6" w:space="0" w:color="auto"/>
              <w:bottom w:val="single" w:sz="6" w:space="0" w:color="auto"/>
              <w:right w:val="single" w:sz="6" w:space="0" w:color="auto"/>
            </w:tcBorders>
            <w:hideMark/>
          </w:tcPr>
          <w:p w14:paraId="4975E680" w14:textId="77777777" w:rsidR="00506C15" w:rsidRPr="00506C15" w:rsidRDefault="00506C15" w:rsidP="00506C15">
            <w:r w:rsidRPr="00506C15">
              <w:t> </w:t>
            </w:r>
          </w:p>
        </w:tc>
        <w:tc>
          <w:tcPr>
            <w:tcW w:w="4845" w:type="dxa"/>
            <w:tcBorders>
              <w:top w:val="single" w:sz="6" w:space="0" w:color="auto"/>
              <w:left w:val="single" w:sz="6" w:space="0" w:color="auto"/>
              <w:bottom w:val="single" w:sz="6" w:space="0" w:color="auto"/>
              <w:right w:val="single" w:sz="6" w:space="0" w:color="auto"/>
            </w:tcBorders>
            <w:hideMark/>
          </w:tcPr>
          <w:p w14:paraId="4B18A087" w14:textId="77777777" w:rsidR="00506C15" w:rsidRPr="00506C15" w:rsidRDefault="00506C15" w:rsidP="00506C15">
            <w:r w:rsidRPr="00506C15">
              <w:t>Criteria </w:t>
            </w:r>
          </w:p>
        </w:tc>
        <w:tc>
          <w:tcPr>
            <w:tcW w:w="1050" w:type="dxa"/>
            <w:tcBorders>
              <w:top w:val="single" w:sz="6" w:space="0" w:color="auto"/>
              <w:left w:val="single" w:sz="6" w:space="0" w:color="auto"/>
              <w:bottom w:val="single" w:sz="6" w:space="0" w:color="auto"/>
              <w:right w:val="single" w:sz="6" w:space="0" w:color="auto"/>
            </w:tcBorders>
            <w:hideMark/>
          </w:tcPr>
          <w:p w14:paraId="0AD347B1" w14:textId="77777777" w:rsidR="00506C15" w:rsidRPr="00506C15" w:rsidRDefault="00506C15" w:rsidP="00506C15">
            <w:r w:rsidRPr="00506C15">
              <w:t>General </w:t>
            </w:r>
          </w:p>
        </w:tc>
        <w:tc>
          <w:tcPr>
            <w:tcW w:w="990" w:type="dxa"/>
            <w:tcBorders>
              <w:top w:val="single" w:sz="6" w:space="0" w:color="auto"/>
              <w:left w:val="single" w:sz="6" w:space="0" w:color="auto"/>
              <w:bottom w:val="single" w:sz="6" w:space="0" w:color="auto"/>
              <w:right w:val="single" w:sz="6" w:space="0" w:color="auto"/>
            </w:tcBorders>
            <w:hideMark/>
          </w:tcPr>
          <w:p w14:paraId="66721350" w14:textId="77777777" w:rsidR="00506C15" w:rsidRPr="00506C15" w:rsidRDefault="00506C15" w:rsidP="00506C15">
            <w:r w:rsidRPr="00506C15">
              <w:t>ECR </w:t>
            </w:r>
          </w:p>
        </w:tc>
        <w:tc>
          <w:tcPr>
            <w:tcW w:w="930" w:type="dxa"/>
            <w:tcBorders>
              <w:top w:val="single" w:sz="6" w:space="0" w:color="auto"/>
              <w:left w:val="single" w:sz="6" w:space="0" w:color="auto"/>
              <w:bottom w:val="single" w:sz="6" w:space="0" w:color="auto"/>
              <w:right w:val="single" w:sz="6" w:space="0" w:color="auto"/>
            </w:tcBorders>
            <w:hideMark/>
          </w:tcPr>
          <w:p w14:paraId="415BBEE0" w14:textId="77777777" w:rsidR="00506C15" w:rsidRPr="00506C15" w:rsidRDefault="00506C15" w:rsidP="00506C15">
            <w:r w:rsidRPr="00506C15">
              <w:t>RE </w:t>
            </w:r>
          </w:p>
        </w:tc>
      </w:tr>
      <w:tr w:rsidR="00506C15" w:rsidRPr="00506C15" w14:paraId="559E8118" w14:textId="77777777">
        <w:trPr>
          <w:trHeight w:val="300"/>
        </w:trPr>
        <w:tc>
          <w:tcPr>
            <w:tcW w:w="1170" w:type="dxa"/>
            <w:tcBorders>
              <w:top w:val="single" w:sz="6" w:space="0" w:color="auto"/>
              <w:left w:val="single" w:sz="6" w:space="0" w:color="auto"/>
              <w:bottom w:val="single" w:sz="6" w:space="0" w:color="auto"/>
              <w:right w:val="single" w:sz="6" w:space="0" w:color="auto"/>
            </w:tcBorders>
            <w:hideMark/>
          </w:tcPr>
          <w:p w14:paraId="2DFC92D3" w14:textId="77777777" w:rsidR="00506C15" w:rsidRPr="00506C15" w:rsidRDefault="00506C15" w:rsidP="00506C15">
            <w:r w:rsidRPr="00506C15">
              <w:t>General </w:t>
            </w:r>
          </w:p>
        </w:tc>
        <w:tc>
          <w:tcPr>
            <w:tcW w:w="4845" w:type="dxa"/>
            <w:tcBorders>
              <w:top w:val="single" w:sz="6" w:space="0" w:color="auto"/>
              <w:left w:val="single" w:sz="6" w:space="0" w:color="auto"/>
              <w:bottom w:val="single" w:sz="6" w:space="0" w:color="auto"/>
              <w:right w:val="single" w:sz="6" w:space="0" w:color="auto"/>
            </w:tcBorders>
            <w:hideMark/>
          </w:tcPr>
          <w:p w14:paraId="4D997BE6" w14:textId="77777777" w:rsidR="00506C15" w:rsidRPr="00506C15" w:rsidRDefault="00506C15" w:rsidP="00506C15">
            <w:r w:rsidRPr="00506C15">
              <w:t>Clarity and detail of application. </w:t>
            </w:r>
          </w:p>
        </w:tc>
        <w:tc>
          <w:tcPr>
            <w:tcW w:w="1050" w:type="dxa"/>
            <w:tcBorders>
              <w:top w:val="single" w:sz="6" w:space="0" w:color="auto"/>
              <w:left w:val="single" w:sz="6" w:space="0" w:color="auto"/>
              <w:bottom w:val="single" w:sz="6" w:space="0" w:color="auto"/>
              <w:right w:val="single" w:sz="6" w:space="0" w:color="auto"/>
            </w:tcBorders>
            <w:hideMark/>
          </w:tcPr>
          <w:p w14:paraId="1432F8D4" w14:textId="77777777" w:rsidR="00506C15" w:rsidRPr="00506C15" w:rsidRDefault="00506C15" w:rsidP="00506C15">
            <w:r w:rsidRPr="00506C15">
              <w:t>10%  </w:t>
            </w:r>
          </w:p>
        </w:tc>
        <w:tc>
          <w:tcPr>
            <w:tcW w:w="990" w:type="dxa"/>
            <w:tcBorders>
              <w:top w:val="single" w:sz="6" w:space="0" w:color="auto"/>
              <w:left w:val="single" w:sz="6" w:space="0" w:color="auto"/>
              <w:bottom w:val="single" w:sz="6" w:space="0" w:color="auto"/>
              <w:right w:val="single" w:sz="6" w:space="0" w:color="auto"/>
            </w:tcBorders>
            <w:hideMark/>
          </w:tcPr>
          <w:p w14:paraId="0280A16E" w14:textId="77777777" w:rsidR="00506C15" w:rsidRPr="00506C15" w:rsidRDefault="00506C15" w:rsidP="00506C15">
            <w:r w:rsidRPr="00506C15">
              <w:t>10% </w:t>
            </w:r>
          </w:p>
        </w:tc>
        <w:tc>
          <w:tcPr>
            <w:tcW w:w="930" w:type="dxa"/>
            <w:tcBorders>
              <w:top w:val="single" w:sz="6" w:space="0" w:color="auto"/>
              <w:left w:val="single" w:sz="6" w:space="0" w:color="auto"/>
              <w:bottom w:val="single" w:sz="6" w:space="0" w:color="auto"/>
              <w:right w:val="single" w:sz="6" w:space="0" w:color="auto"/>
            </w:tcBorders>
            <w:hideMark/>
          </w:tcPr>
          <w:p w14:paraId="1BBDA638" w14:textId="77777777" w:rsidR="00506C15" w:rsidRPr="00506C15" w:rsidRDefault="00506C15" w:rsidP="00506C15">
            <w:r w:rsidRPr="00506C15">
              <w:t>10% </w:t>
            </w:r>
          </w:p>
        </w:tc>
      </w:tr>
      <w:tr w:rsidR="00506C15" w:rsidRPr="00506C15" w14:paraId="4D48CE12" w14:textId="77777777">
        <w:trPr>
          <w:trHeight w:val="300"/>
        </w:trPr>
        <w:tc>
          <w:tcPr>
            <w:tcW w:w="1170" w:type="dxa"/>
            <w:vMerge w:val="restart"/>
            <w:tcBorders>
              <w:top w:val="single" w:sz="6" w:space="0" w:color="auto"/>
              <w:left w:val="single" w:sz="6" w:space="0" w:color="auto"/>
              <w:bottom w:val="single" w:sz="6" w:space="0" w:color="auto"/>
              <w:right w:val="single" w:sz="6" w:space="0" w:color="auto"/>
            </w:tcBorders>
            <w:hideMark/>
          </w:tcPr>
          <w:p w14:paraId="3CCB62E4" w14:textId="77777777" w:rsidR="00506C15" w:rsidRPr="00506C15" w:rsidRDefault="00506C15" w:rsidP="00506C15">
            <w:r w:rsidRPr="00506C15">
              <w:t>Method </w:t>
            </w:r>
          </w:p>
        </w:tc>
        <w:tc>
          <w:tcPr>
            <w:tcW w:w="4845" w:type="dxa"/>
            <w:tcBorders>
              <w:top w:val="single" w:sz="6" w:space="0" w:color="auto"/>
              <w:left w:val="single" w:sz="6" w:space="0" w:color="auto"/>
              <w:bottom w:val="single" w:sz="6" w:space="0" w:color="auto"/>
              <w:right w:val="single" w:sz="6" w:space="0" w:color="auto"/>
            </w:tcBorders>
            <w:hideMark/>
          </w:tcPr>
          <w:p w14:paraId="619D9141" w14:textId="77777777" w:rsidR="00506C15" w:rsidRPr="00506C15" w:rsidRDefault="00506C15" w:rsidP="00506C15">
            <w:r w:rsidRPr="00506C15">
              <w:t>Evidence of open research principles in the design of the research project or research-related initiative. </w:t>
            </w:r>
          </w:p>
        </w:tc>
        <w:tc>
          <w:tcPr>
            <w:tcW w:w="1050" w:type="dxa"/>
            <w:tcBorders>
              <w:top w:val="single" w:sz="6" w:space="0" w:color="auto"/>
              <w:left w:val="single" w:sz="6" w:space="0" w:color="auto"/>
              <w:bottom w:val="single" w:sz="6" w:space="0" w:color="auto"/>
              <w:right w:val="single" w:sz="6" w:space="0" w:color="auto"/>
            </w:tcBorders>
            <w:hideMark/>
          </w:tcPr>
          <w:p w14:paraId="74DA4EF0" w14:textId="77777777" w:rsidR="00506C15" w:rsidRPr="00506C15" w:rsidRDefault="00506C15" w:rsidP="00506C15">
            <w:r w:rsidRPr="00506C15">
              <w:t>15% </w:t>
            </w:r>
          </w:p>
        </w:tc>
        <w:tc>
          <w:tcPr>
            <w:tcW w:w="990" w:type="dxa"/>
            <w:tcBorders>
              <w:top w:val="single" w:sz="6" w:space="0" w:color="auto"/>
              <w:left w:val="single" w:sz="6" w:space="0" w:color="auto"/>
              <w:bottom w:val="single" w:sz="6" w:space="0" w:color="auto"/>
              <w:right w:val="single" w:sz="6" w:space="0" w:color="auto"/>
            </w:tcBorders>
            <w:hideMark/>
          </w:tcPr>
          <w:p w14:paraId="761355B4" w14:textId="77777777" w:rsidR="00506C15" w:rsidRPr="00506C15" w:rsidRDefault="00506C15" w:rsidP="00506C15">
            <w:r w:rsidRPr="00506C15">
              <w:t>35% </w:t>
            </w:r>
          </w:p>
        </w:tc>
        <w:tc>
          <w:tcPr>
            <w:tcW w:w="930" w:type="dxa"/>
            <w:tcBorders>
              <w:top w:val="single" w:sz="6" w:space="0" w:color="auto"/>
              <w:left w:val="single" w:sz="6" w:space="0" w:color="auto"/>
              <w:bottom w:val="single" w:sz="6" w:space="0" w:color="auto"/>
              <w:right w:val="single" w:sz="6" w:space="0" w:color="auto"/>
            </w:tcBorders>
            <w:hideMark/>
          </w:tcPr>
          <w:p w14:paraId="5ECBD8CB" w14:textId="77777777" w:rsidR="00506C15" w:rsidRPr="00506C15" w:rsidRDefault="00506C15" w:rsidP="00506C15">
            <w:r w:rsidRPr="00506C15">
              <w:t>30% </w:t>
            </w:r>
          </w:p>
        </w:tc>
      </w:tr>
      <w:tr w:rsidR="00506C15" w:rsidRPr="00506C15" w14:paraId="2206DE14" w14:textId="7777777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D1658B5" w14:textId="77777777" w:rsidR="00506C15" w:rsidRPr="00506C15" w:rsidRDefault="00506C15" w:rsidP="00506C15"/>
        </w:tc>
        <w:tc>
          <w:tcPr>
            <w:tcW w:w="4845" w:type="dxa"/>
            <w:tcBorders>
              <w:top w:val="single" w:sz="6" w:space="0" w:color="auto"/>
              <w:left w:val="single" w:sz="6" w:space="0" w:color="auto"/>
              <w:bottom w:val="single" w:sz="6" w:space="0" w:color="auto"/>
              <w:right w:val="single" w:sz="6" w:space="0" w:color="auto"/>
            </w:tcBorders>
            <w:hideMark/>
          </w:tcPr>
          <w:p w14:paraId="5D562597" w14:textId="77777777" w:rsidR="00506C15" w:rsidRPr="00506C15" w:rsidRDefault="00506C15" w:rsidP="00506C15">
            <w:r w:rsidRPr="00506C15">
              <w:t>Open publication of research methods, code, results, data and any type of research output. </w:t>
            </w:r>
          </w:p>
        </w:tc>
        <w:tc>
          <w:tcPr>
            <w:tcW w:w="1050" w:type="dxa"/>
            <w:tcBorders>
              <w:top w:val="single" w:sz="6" w:space="0" w:color="auto"/>
              <w:left w:val="single" w:sz="6" w:space="0" w:color="auto"/>
              <w:bottom w:val="single" w:sz="6" w:space="0" w:color="auto"/>
              <w:right w:val="single" w:sz="6" w:space="0" w:color="auto"/>
            </w:tcBorders>
            <w:hideMark/>
          </w:tcPr>
          <w:p w14:paraId="4CED0C37" w14:textId="77777777" w:rsidR="00506C15" w:rsidRPr="00506C15" w:rsidRDefault="00506C15" w:rsidP="00506C15">
            <w:r w:rsidRPr="00506C15">
              <w:t>20%  </w:t>
            </w:r>
          </w:p>
        </w:tc>
        <w:tc>
          <w:tcPr>
            <w:tcW w:w="990" w:type="dxa"/>
            <w:tcBorders>
              <w:top w:val="single" w:sz="6" w:space="0" w:color="auto"/>
              <w:left w:val="single" w:sz="6" w:space="0" w:color="auto"/>
              <w:bottom w:val="single" w:sz="6" w:space="0" w:color="auto"/>
              <w:right w:val="single" w:sz="6" w:space="0" w:color="auto"/>
            </w:tcBorders>
            <w:hideMark/>
          </w:tcPr>
          <w:p w14:paraId="3CFA6536" w14:textId="77777777" w:rsidR="00506C15" w:rsidRPr="00506C15" w:rsidRDefault="00506C15" w:rsidP="00506C15">
            <w:r w:rsidRPr="00506C15">
              <w:t>20% </w:t>
            </w:r>
          </w:p>
        </w:tc>
        <w:tc>
          <w:tcPr>
            <w:tcW w:w="930" w:type="dxa"/>
            <w:tcBorders>
              <w:top w:val="single" w:sz="6" w:space="0" w:color="auto"/>
              <w:left w:val="single" w:sz="6" w:space="0" w:color="auto"/>
              <w:bottom w:val="single" w:sz="6" w:space="0" w:color="auto"/>
              <w:right w:val="single" w:sz="6" w:space="0" w:color="auto"/>
            </w:tcBorders>
            <w:hideMark/>
          </w:tcPr>
          <w:p w14:paraId="6D098A2D" w14:textId="77777777" w:rsidR="00506C15" w:rsidRPr="00506C15" w:rsidRDefault="00506C15" w:rsidP="00506C15">
            <w:r w:rsidRPr="00506C15">
              <w:t>20% </w:t>
            </w:r>
          </w:p>
        </w:tc>
      </w:tr>
      <w:tr w:rsidR="00506C15" w:rsidRPr="00506C15" w14:paraId="53F0A6E0" w14:textId="77777777">
        <w:trPr>
          <w:trHeight w:val="300"/>
        </w:trPr>
        <w:tc>
          <w:tcPr>
            <w:tcW w:w="1170" w:type="dxa"/>
            <w:vMerge w:val="restart"/>
            <w:tcBorders>
              <w:top w:val="single" w:sz="6" w:space="0" w:color="auto"/>
              <w:left w:val="single" w:sz="6" w:space="0" w:color="auto"/>
              <w:bottom w:val="single" w:sz="6" w:space="0" w:color="auto"/>
              <w:right w:val="single" w:sz="6" w:space="0" w:color="auto"/>
            </w:tcBorders>
            <w:hideMark/>
          </w:tcPr>
          <w:p w14:paraId="7C82774F" w14:textId="77777777" w:rsidR="00506C15" w:rsidRPr="00506C15" w:rsidRDefault="00506C15" w:rsidP="00506C15">
            <w:r w:rsidRPr="00506C15">
              <w:t>Impact </w:t>
            </w:r>
          </w:p>
        </w:tc>
        <w:tc>
          <w:tcPr>
            <w:tcW w:w="4845" w:type="dxa"/>
            <w:tcBorders>
              <w:top w:val="single" w:sz="6" w:space="0" w:color="auto"/>
              <w:left w:val="single" w:sz="6" w:space="0" w:color="auto"/>
              <w:bottom w:val="single" w:sz="6" w:space="0" w:color="auto"/>
              <w:right w:val="single" w:sz="6" w:space="0" w:color="auto"/>
            </w:tcBorders>
            <w:hideMark/>
          </w:tcPr>
          <w:p w14:paraId="34280DEE" w14:textId="77777777" w:rsidR="00506C15" w:rsidRPr="00506C15" w:rsidRDefault="00506C15" w:rsidP="00506C15">
            <w:r w:rsidRPr="00506C15">
              <w:t>Evidence of how open practices have led to the extended reach of the work they have led,</w:t>
            </w:r>
            <w:r w:rsidRPr="00506C15">
              <w:rPr>
                <w:rFonts w:ascii="Arial" w:hAnsi="Arial" w:cs="Arial"/>
              </w:rPr>
              <w:t> </w:t>
            </w:r>
            <w:r w:rsidRPr="00506C15">
              <w:t>supported</w:t>
            </w:r>
            <w:r w:rsidRPr="00506C15">
              <w:rPr>
                <w:rFonts w:ascii="Arial" w:hAnsi="Arial" w:cs="Arial"/>
              </w:rPr>
              <w:t> </w:t>
            </w:r>
            <w:r w:rsidRPr="00506C15">
              <w:t>or published. </w:t>
            </w:r>
          </w:p>
        </w:tc>
        <w:tc>
          <w:tcPr>
            <w:tcW w:w="1050" w:type="dxa"/>
            <w:tcBorders>
              <w:top w:val="single" w:sz="6" w:space="0" w:color="auto"/>
              <w:left w:val="single" w:sz="6" w:space="0" w:color="auto"/>
              <w:bottom w:val="single" w:sz="6" w:space="0" w:color="auto"/>
              <w:right w:val="single" w:sz="6" w:space="0" w:color="auto"/>
            </w:tcBorders>
            <w:hideMark/>
          </w:tcPr>
          <w:p w14:paraId="7FAB4397" w14:textId="77777777" w:rsidR="00506C15" w:rsidRPr="00506C15" w:rsidRDefault="00506C15" w:rsidP="00506C15">
            <w:r w:rsidRPr="00506C15">
              <w:t>25% </w:t>
            </w:r>
          </w:p>
        </w:tc>
        <w:tc>
          <w:tcPr>
            <w:tcW w:w="990" w:type="dxa"/>
            <w:tcBorders>
              <w:top w:val="single" w:sz="6" w:space="0" w:color="auto"/>
              <w:left w:val="single" w:sz="6" w:space="0" w:color="auto"/>
              <w:bottom w:val="single" w:sz="6" w:space="0" w:color="auto"/>
              <w:right w:val="single" w:sz="6" w:space="0" w:color="auto"/>
            </w:tcBorders>
            <w:hideMark/>
          </w:tcPr>
          <w:p w14:paraId="684CF9C7" w14:textId="77777777" w:rsidR="00506C15" w:rsidRPr="00506C15" w:rsidRDefault="00506C15" w:rsidP="00506C15">
            <w:r w:rsidRPr="00506C15">
              <w:t>15% </w:t>
            </w:r>
          </w:p>
        </w:tc>
        <w:tc>
          <w:tcPr>
            <w:tcW w:w="930" w:type="dxa"/>
            <w:tcBorders>
              <w:top w:val="single" w:sz="6" w:space="0" w:color="auto"/>
              <w:left w:val="single" w:sz="6" w:space="0" w:color="auto"/>
              <w:bottom w:val="single" w:sz="6" w:space="0" w:color="auto"/>
              <w:right w:val="single" w:sz="6" w:space="0" w:color="auto"/>
            </w:tcBorders>
            <w:hideMark/>
          </w:tcPr>
          <w:p w14:paraId="6C17464B" w14:textId="77777777" w:rsidR="00506C15" w:rsidRPr="00506C15" w:rsidRDefault="00506C15" w:rsidP="00506C15">
            <w:r w:rsidRPr="00506C15">
              <w:t>15% </w:t>
            </w:r>
          </w:p>
        </w:tc>
      </w:tr>
      <w:tr w:rsidR="00506C15" w:rsidRPr="00506C15" w14:paraId="5D3AF2DE" w14:textId="7777777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23ED47D" w14:textId="77777777" w:rsidR="00506C15" w:rsidRPr="00506C15" w:rsidRDefault="00506C15" w:rsidP="00506C15"/>
        </w:tc>
        <w:tc>
          <w:tcPr>
            <w:tcW w:w="4845" w:type="dxa"/>
            <w:tcBorders>
              <w:top w:val="single" w:sz="6" w:space="0" w:color="auto"/>
              <w:left w:val="single" w:sz="6" w:space="0" w:color="auto"/>
              <w:bottom w:val="single" w:sz="6" w:space="0" w:color="auto"/>
              <w:right w:val="single" w:sz="6" w:space="0" w:color="auto"/>
            </w:tcBorders>
            <w:hideMark/>
          </w:tcPr>
          <w:p w14:paraId="4F6A9594" w14:textId="77777777" w:rsidR="00506C15" w:rsidRPr="00506C15" w:rsidRDefault="00506C15" w:rsidP="00506C15">
            <w:r w:rsidRPr="00506C15">
              <w:t>Evidence of how open practices have improved transparency and representation of all roles within the research process. </w:t>
            </w:r>
          </w:p>
        </w:tc>
        <w:tc>
          <w:tcPr>
            <w:tcW w:w="1050" w:type="dxa"/>
            <w:tcBorders>
              <w:top w:val="single" w:sz="6" w:space="0" w:color="auto"/>
              <w:left w:val="single" w:sz="6" w:space="0" w:color="auto"/>
              <w:bottom w:val="single" w:sz="6" w:space="0" w:color="auto"/>
              <w:right w:val="single" w:sz="6" w:space="0" w:color="auto"/>
            </w:tcBorders>
            <w:hideMark/>
          </w:tcPr>
          <w:p w14:paraId="46F92442" w14:textId="77777777" w:rsidR="00506C15" w:rsidRPr="00506C15" w:rsidRDefault="00506C15" w:rsidP="00506C15">
            <w:r w:rsidRPr="00506C15">
              <w:t>25% </w:t>
            </w:r>
          </w:p>
        </w:tc>
        <w:tc>
          <w:tcPr>
            <w:tcW w:w="990" w:type="dxa"/>
            <w:tcBorders>
              <w:top w:val="single" w:sz="6" w:space="0" w:color="auto"/>
              <w:left w:val="single" w:sz="6" w:space="0" w:color="auto"/>
              <w:bottom w:val="single" w:sz="6" w:space="0" w:color="auto"/>
              <w:right w:val="single" w:sz="6" w:space="0" w:color="auto"/>
            </w:tcBorders>
            <w:hideMark/>
          </w:tcPr>
          <w:p w14:paraId="5EF0DB7B" w14:textId="77777777" w:rsidR="00506C15" w:rsidRPr="00506C15" w:rsidRDefault="00506C15" w:rsidP="00506C15">
            <w:r w:rsidRPr="00506C15">
              <w:t>15% </w:t>
            </w:r>
          </w:p>
        </w:tc>
        <w:tc>
          <w:tcPr>
            <w:tcW w:w="930" w:type="dxa"/>
            <w:tcBorders>
              <w:top w:val="single" w:sz="6" w:space="0" w:color="auto"/>
              <w:left w:val="single" w:sz="6" w:space="0" w:color="auto"/>
              <w:bottom w:val="single" w:sz="6" w:space="0" w:color="auto"/>
              <w:right w:val="single" w:sz="6" w:space="0" w:color="auto"/>
            </w:tcBorders>
            <w:hideMark/>
          </w:tcPr>
          <w:p w14:paraId="5920DFEA" w14:textId="77777777" w:rsidR="00506C15" w:rsidRPr="00506C15" w:rsidRDefault="00506C15" w:rsidP="00506C15">
            <w:r w:rsidRPr="00506C15">
              <w:t>20% </w:t>
            </w:r>
          </w:p>
        </w:tc>
      </w:tr>
      <w:tr w:rsidR="00506C15" w:rsidRPr="00506C15" w14:paraId="5BFFDCC9" w14:textId="77777777">
        <w:trPr>
          <w:trHeight w:val="300"/>
        </w:trPr>
        <w:tc>
          <w:tcPr>
            <w:tcW w:w="1170" w:type="dxa"/>
            <w:tcBorders>
              <w:top w:val="single" w:sz="6" w:space="0" w:color="auto"/>
              <w:left w:val="single" w:sz="6" w:space="0" w:color="auto"/>
              <w:bottom w:val="single" w:sz="6" w:space="0" w:color="auto"/>
              <w:right w:val="single" w:sz="6" w:space="0" w:color="auto"/>
            </w:tcBorders>
            <w:hideMark/>
          </w:tcPr>
          <w:p w14:paraId="398406D7" w14:textId="77777777" w:rsidR="00506C15" w:rsidRPr="00506C15" w:rsidRDefault="00506C15" w:rsidP="00506C15">
            <w:r w:rsidRPr="00506C15">
              <w:t>Culture </w:t>
            </w:r>
          </w:p>
        </w:tc>
        <w:tc>
          <w:tcPr>
            <w:tcW w:w="4845" w:type="dxa"/>
            <w:tcBorders>
              <w:top w:val="single" w:sz="6" w:space="0" w:color="auto"/>
              <w:left w:val="single" w:sz="6" w:space="0" w:color="auto"/>
              <w:bottom w:val="single" w:sz="6" w:space="0" w:color="auto"/>
              <w:right w:val="single" w:sz="6" w:space="0" w:color="auto"/>
            </w:tcBorders>
            <w:hideMark/>
          </w:tcPr>
          <w:p w14:paraId="190737EE" w14:textId="77777777" w:rsidR="00506C15" w:rsidRPr="00506C15" w:rsidRDefault="00506C15" w:rsidP="00506C15">
            <w:r w:rsidRPr="00506C15">
              <w:t>Indication of how open research practices themselves have contributed to local research culture. </w:t>
            </w:r>
          </w:p>
        </w:tc>
        <w:tc>
          <w:tcPr>
            <w:tcW w:w="1050" w:type="dxa"/>
            <w:tcBorders>
              <w:top w:val="single" w:sz="6" w:space="0" w:color="auto"/>
              <w:left w:val="single" w:sz="6" w:space="0" w:color="auto"/>
              <w:bottom w:val="single" w:sz="6" w:space="0" w:color="auto"/>
              <w:right w:val="single" w:sz="6" w:space="0" w:color="auto"/>
            </w:tcBorders>
            <w:hideMark/>
          </w:tcPr>
          <w:p w14:paraId="44F9666C" w14:textId="77777777" w:rsidR="00506C15" w:rsidRPr="00506C15" w:rsidRDefault="00506C15" w:rsidP="00506C15">
            <w:r w:rsidRPr="00506C15">
              <w:t>5% </w:t>
            </w:r>
          </w:p>
        </w:tc>
        <w:tc>
          <w:tcPr>
            <w:tcW w:w="990" w:type="dxa"/>
            <w:tcBorders>
              <w:top w:val="single" w:sz="6" w:space="0" w:color="auto"/>
              <w:left w:val="single" w:sz="6" w:space="0" w:color="auto"/>
              <w:bottom w:val="single" w:sz="6" w:space="0" w:color="auto"/>
              <w:right w:val="single" w:sz="6" w:space="0" w:color="auto"/>
            </w:tcBorders>
            <w:hideMark/>
          </w:tcPr>
          <w:p w14:paraId="2EDB2995" w14:textId="77777777" w:rsidR="00506C15" w:rsidRPr="00506C15" w:rsidRDefault="00506C15" w:rsidP="00506C15">
            <w:r w:rsidRPr="00506C15">
              <w:t>5% </w:t>
            </w:r>
          </w:p>
        </w:tc>
        <w:tc>
          <w:tcPr>
            <w:tcW w:w="930" w:type="dxa"/>
            <w:tcBorders>
              <w:top w:val="single" w:sz="6" w:space="0" w:color="auto"/>
              <w:left w:val="single" w:sz="6" w:space="0" w:color="auto"/>
              <w:bottom w:val="single" w:sz="6" w:space="0" w:color="auto"/>
              <w:right w:val="single" w:sz="6" w:space="0" w:color="auto"/>
            </w:tcBorders>
            <w:hideMark/>
          </w:tcPr>
          <w:p w14:paraId="28D705A2" w14:textId="77777777" w:rsidR="00506C15" w:rsidRPr="00506C15" w:rsidRDefault="00506C15" w:rsidP="00506C15">
            <w:r w:rsidRPr="00506C15">
              <w:t>5% </w:t>
            </w:r>
          </w:p>
        </w:tc>
      </w:tr>
    </w:tbl>
    <w:p w14:paraId="01C5E90F" w14:textId="77777777" w:rsidR="00506C15" w:rsidRPr="00506C15" w:rsidRDefault="00506C15" w:rsidP="00506C15">
      <w:r w:rsidRPr="00506C15">
        <w:t>Submissions will be scored in each category on a five-point scale and then weighted according to the percentages listed above. All applications will be anonymised before assessment.  </w:t>
      </w:r>
    </w:p>
    <w:p w14:paraId="208A965B" w14:textId="77777777" w:rsidR="00506C15" w:rsidRPr="00506C15" w:rsidRDefault="00506C15" w:rsidP="00506C15">
      <w:r w:rsidRPr="00506C15">
        <w:t xml:space="preserve">If you have any questions about the prize, please contact </w:t>
      </w:r>
      <w:hyperlink r:id="rId5" w:tgtFrame="_blank" w:history="1">
        <w:r w:rsidRPr="00506C15">
          <w:rPr>
            <w:rStyle w:val="Hyperlink"/>
          </w:rPr>
          <w:t>talentandskills@gw4.ac.uk</w:t>
        </w:r>
      </w:hyperlink>
      <w:r w:rsidRPr="00506C15">
        <w:t>.  </w:t>
      </w:r>
    </w:p>
    <w:p w14:paraId="7E2F9F9C" w14:textId="77777777" w:rsidR="00DF0DD4" w:rsidRDefault="00DF0DD4"/>
    <w:sectPr w:rsidR="00DF0D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D90"/>
    <w:multiLevelType w:val="multilevel"/>
    <w:tmpl w:val="5D4A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C3A70"/>
    <w:multiLevelType w:val="multilevel"/>
    <w:tmpl w:val="15CA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12126"/>
    <w:multiLevelType w:val="multilevel"/>
    <w:tmpl w:val="B384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A7515"/>
    <w:multiLevelType w:val="multilevel"/>
    <w:tmpl w:val="F11A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14113"/>
    <w:multiLevelType w:val="multilevel"/>
    <w:tmpl w:val="8698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D3055"/>
    <w:multiLevelType w:val="multilevel"/>
    <w:tmpl w:val="EC26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A70C8"/>
    <w:multiLevelType w:val="multilevel"/>
    <w:tmpl w:val="DB54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F25B7"/>
    <w:multiLevelType w:val="multilevel"/>
    <w:tmpl w:val="4660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7458D"/>
    <w:multiLevelType w:val="multilevel"/>
    <w:tmpl w:val="D452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18703E"/>
    <w:multiLevelType w:val="multilevel"/>
    <w:tmpl w:val="7E44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39515B"/>
    <w:multiLevelType w:val="multilevel"/>
    <w:tmpl w:val="9596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6248F6"/>
    <w:multiLevelType w:val="multilevel"/>
    <w:tmpl w:val="73D8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DC6D40"/>
    <w:multiLevelType w:val="multilevel"/>
    <w:tmpl w:val="0C9C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2D4608"/>
    <w:multiLevelType w:val="multilevel"/>
    <w:tmpl w:val="AF78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426B85"/>
    <w:multiLevelType w:val="multilevel"/>
    <w:tmpl w:val="2EA4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2A2C1C"/>
    <w:multiLevelType w:val="multilevel"/>
    <w:tmpl w:val="DCEE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5C1DFE"/>
    <w:multiLevelType w:val="multilevel"/>
    <w:tmpl w:val="A8A8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343A10"/>
    <w:multiLevelType w:val="multilevel"/>
    <w:tmpl w:val="72F4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3144E4"/>
    <w:multiLevelType w:val="multilevel"/>
    <w:tmpl w:val="6466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BB5898"/>
    <w:multiLevelType w:val="multilevel"/>
    <w:tmpl w:val="1F5C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43678E"/>
    <w:multiLevelType w:val="multilevel"/>
    <w:tmpl w:val="0368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0A679F"/>
    <w:multiLevelType w:val="multilevel"/>
    <w:tmpl w:val="2BBC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66031D"/>
    <w:multiLevelType w:val="multilevel"/>
    <w:tmpl w:val="31D6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8E5432"/>
    <w:multiLevelType w:val="multilevel"/>
    <w:tmpl w:val="AD7A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BA3CA5"/>
    <w:multiLevelType w:val="multilevel"/>
    <w:tmpl w:val="A90C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6D747D"/>
    <w:multiLevelType w:val="multilevel"/>
    <w:tmpl w:val="65B4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3F1804"/>
    <w:multiLevelType w:val="multilevel"/>
    <w:tmpl w:val="326C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946685"/>
    <w:multiLevelType w:val="multilevel"/>
    <w:tmpl w:val="8598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8511E9"/>
    <w:multiLevelType w:val="multilevel"/>
    <w:tmpl w:val="B0E8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F912B8"/>
    <w:multiLevelType w:val="multilevel"/>
    <w:tmpl w:val="86BA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933A16"/>
    <w:multiLevelType w:val="multilevel"/>
    <w:tmpl w:val="2974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2B462A"/>
    <w:multiLevelType w:val="multilevel"/>
    <w:tmpl w:val="0BDE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106C6E"/>
    <w:multiLevelType w:val="multilevel"/>
    <w:tmpl w:val="202A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477B91"/>
    <w:multiLevelType w:val="multilevel"/>
    <w:tmpl w:val="7AD0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2238A5"/>
    <w:multiLevelType w:val="multilevel"/>
    <w:tmpl w:val="C7D4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163089"/>
    <w:multiLevelType w:val="multilevel"/>
    <w:tmpl w:val="623C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3B09B2"/>
    <w:multiLevelType w:val="multilevel"/>
    <w:tmpl w:val="4474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097385"/>
    <w:multiLevelType w:val="multilevel"/>
    <w:tmpl w:val="EC40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9110BC"/>
    <w:multiLevelType w:val="multilevel"/>
    <w:tmpl w:val="7DCA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C13C10"/>
    <w:multiLevelType w:val="multilevel"/>
    <w:tmpl w:val="C1D8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8796613">
    <w:abstractNumId w:val="12"/>
  </w:num>
  <w:num w:numId="2" w16cid:durableId="1550267088">
    <w:abstractNumId w:val="28"/>
  </w:num>
  <w:num w:numId="3" w16cid:durableId="352269025">
    <w:abstractNumId w:val="10"/>
  </w:num>
  <w:num w:numId="4" w16cid:durableId="2116559062">
    <w:abstractNumId w:val="2"/>
  </w:num>
  <w:num w:numId="5" w16cid:durableId="1675760732">
    <w:abstractNumId w:val="30"/>
  </w:num>
  <w:num w:numId="6" w16cid:durableId="220139602">
    <w:abstractNumId w:val="13"/>
  </w:num>
  <w:num w:numId="7" w16cid:durableId="380904075">
    <w:abstractNumId w:val="15"/>
  </w:num>
  <w:num w:numId="8" w16cid:durableId="1782258748">
    <w:abstractNumId w:val="22"/>
  </w:num>
  <w:num w:numId="9" w16cid:durableId="1388870211">
    <w:abstractNumId w:val="27"/>
  </w:num>
  <w:num w:numId="10" w16cid:durableId="410860238">
    <w:abstractNumId w:val="6"/>
  </w:num>
  <w:num w:numId="11" w16cid:durableId="134371891">
    <w:abstractNumId w:val="16"/>
  </w:num>
  <w:num w:numId="12" w16cid:durableId="385184484">
    <w:abstractNumId w:val="4"/>
  </w:num>
  <w:num w:numId="13" w16cid:durableId="525867472">
    <w:abstractNumId w:val="33"/>
  </w:num>
  <w:num w:numId="14" w16cid:durableId="1877961013">
    <w:abstractNumId w:val="38"/>
  </w:num>
  <w:num w:numId="15" w16cid:durableId="957297986">
    <w:abstractNumId w:val="32"/>
  </w:num>
  <w:num w:numId="16" w16cid:durableId="2008484915">
    <w:abstractNumId w:val="25"/>
  </w:num>
  <w:num w:numId="17" w16cid:durableId="1994331441">
    <w:abstractNumId w:val="14"/>
  </w:num>
  <w:num w:numId="18" w16cid:durableId="2009364312">
    <w:abstractNumId w:val="17"/>
  </w:num>
  <w:num w:numId="19" w16cid:durableId="11222924">
    <w:abstractNumId w:val="19"/>
  </w:num>
  <w:num w:numId="20" w16cid:durableId="1494565509">
    <w:abstractNumId w:val="9"/>
  </w:num>
  <w:num w:numId="21" w16cid:durableId="630089826">
    <w:abstractNumId w:val="36"/>
  </w:num>
  <w:num w:numId="22" w16cid:durableId="1943999622">
    <w:abstractNumId w:val="18"/>
  </w:num>
  <w:num w:numId="23" w16cid:durableId="1366908986">
    <w:abstractNumId w:val="8"/>
  </w:num>
  <w:num w:numId="24" w16cid:durableId="733233828">
    <w:abstractNumId w:val="29"/>
  </w:num>
  <w:num w:numId="25" w16cid:durableId="395126933">
    <w:abstractNumId w:val="21"/>
  </w:num>
  <w:num w:numId="26" w16cid:durableId="352607551">
    <w:abstractNumId w:val="5"/>
  </w:num>
  <w:num w:numId="27" w16cid:durableId="836002362">
    <w:abstractNumId w:val="39"/>
  </w:num>
  <w:num w:numId="28" w16cid:durableId="693649512">
    <w:abstractNumId w:val="7"/>
  </w:num>
  <w:num w:numId="29" w16cid:durableId="1100443028">
    <w:abstractNumId w:val="1"/>
  </w:num>
  <w:num w:numId="30" w16cid:durableId="1446120124">
    <w:abstractNumId w:val="3"/>
  </w:num>
  <w:num w:numId="31" w16cid:durableId="370812776">
    <w:abstractNumId w:val="35"/>
  </w:num>
  <w:num w:numId="32" w16cid:durableId="1838302533">
    <w:abstractNumId w:val="0"/>
  </w:num>
  <w:num w:numId="33" w16cid:durableId="971063035">
    <w:abstractNumId w:val="11"/>
  </w:num>
  <w:num w:numId="34" w16cid:durableId="1272585957">
    <w:abstractNumId w:val="24"/>
  </w:num>
  <w:num w:numId="35" w16cid:durableId="1668707824">
    <w:abstractNumId w:val="34"/>
  </w:num>
  <w:num w:numId="36" w16cid:durableId="1258100763">
    <w:abstractNumId w:val="20"/>
  </w:num>
  <w:num w:numId="37" w16cid:durableId="1810707748">
    <w:abstractNumId w:val="37"/>
  </w:num>
  <w:num w:numId="38" w16cid:durableId="174659874">
    <w:abstractNumId w:val="23"/>
  </w:num>
  <w:num w:numId="39" w16cid:durableId="1232229354">
    <w:abstractNumId w:val="26"/>
  </w:num>
  <w:num w:numId="40" w16cid:durableId="191223041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C15"/>
    <w:rsid w:val="00506C15"/>
    <w:rsid w:val="00712EF5"/>
    <w:rsid w:val="009A3F86"/>
    <w:rsid w:val="00B36388"/>
    <w:rsid w:val="00DF0DD4"/>
    <w:rsid w:val="00F53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FD73F"/>
  <w15:chartTrackingRefBased/>
  <w15:docId w15:val="{DBD5A041-6461-4C4C-9059-E64651914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C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6C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6C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C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06C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06C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C15"/>
    <w:rPr>
      <w:rFonts w:eastAsiaTheme="majorEastAsia" w:cstheme="majorBidi"/>
      <w:color w:val="272727" w:themeColor="text1" w:themeTint="D8"/>
    </w:rPr>
  </w:style>
  <w:style w:type="paragraph" w:styleId="Title">
    <w:name w:val="Title"/>
    <w:basedOn w:val="Normal"/>
    <w:next w:val="Normal"/>
    <w:link w:val="TitleChar"/>
    <w:uiPriority w:val="10"/>
    <w:qFormat/>
    <w:rsid w:val="00506C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C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C15"/>
    <w:pPr>
      <w:spacing w:before="160"/>
      <w:jc w:val="center"/>
    </w:pPr>
    <w:rPr>
      <w:i/>
      <w:iCs/>
      <w:color w:val="404040" w:themeColor="text1" w:themeTint="BF"/>
    </w:rPr>
  </w:style>
  <w:style w:type="character" w:customStyle="1" w:styleId="QuoteChar">
    <w:name w:val="Quote Char"/>
    <w:basedOn w:val="DefaultParagraphFont"/>
    <w:link w:val="Quote"/>
    <w:uiPriority w:val="29"/>
    <w:rsid w:val="00506C15"/>
    <w:rPr>
      <w:i/>
      <w:iCs/>
      <w:color w:val="404040" w:themeColor="text1" w:themeTint="BF"/>
    </w:rPr>
  </w:style>
  <w:style w:type="paragraph" w:styleId="ListParagraph">
    <w:name w:val="List Paragraph"/>
    <w:basedOn w:val="Normal"/>
    <w:uiPriority w:val="34"/>
    <w:qFormat/>
    <w:rsid w:val="00506C15"/>
    <w:pPr>
      <w:ind w:left="720"/>
      <w:contextualSpacing/>
    </w:pPr>
  </w:style>
  <w:style w:type="character" w:styleId="IntenseEmphasis">
    <w:name w:val="Intense Emphasis"/>
    <w:basedOn w:val="DefaultParagraphFont"/>
    <w:uiPriority w:val="21"/>
    <w:qFormat/>
    <w:rsid w:val="00506C15"/>
    <w:rPr>
      <w:i/>
      <w:iCs/>
      <w:color w:val="0F4761" w:themeColor="accent1" w:themeShade="BF"/>
    </w:rPr>
  </w:style>
  <w:style w:type="paragraph" w:styleId="IntenseQuote">
    <w:name w:val="Intense Quote"/>
    <w:basedOn w:val="Normal"/>
    <w:next w:val="Normal"/>
    <w:link w:val="IntenseQuoteChar"/>
    <w:uiPriority w:val="30"/>
    <w:qFormat/>
    <w:rsid w:val="00506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C15"/>
    <w:rPr>
      <w:i/>
      <w:iCs/>
      <w:color w:val="0F4761" w:themeColor="accent1" w:themeShade="BF"/>
    </w:rPr>
  </w:style>
  <w:style w:type="character" w:styleId="IntenseReference">
    <w:name w:val="Intense Reference"/>
    <w:basedOn w:val="DefaultParagraphFont"/>
    <w:uiPriority w:val="32"/>
    <w:qFormat/>
    <w:rsid w:val="00506C15"/>
    <w:rPr>
      <w:b/>
      <w:bCs/>
      <w:smallCaps/>
      <w:color w:val="0F4761" w:themeColor="accent1" w:themeShade="BF"/>
      <w:spacing w:val="5"/>
    </w:rPr>
  </w:style>
  <w:style w:type="character" w:styleId="Hyperlink">
    <w:name w:val="Hyperlink"/>
    <w:basedOn w:val="DefaultParagraphFont"/>
    <w:uiPriority w:val="99"/>
    <w:unhideWhenUsed/>
    <w:rsid w:val="00506C15"/>
    <w:rPr>
      <w:color w:val="467886" w:themeColor="hyperlink"/>
      <w:u w:val="single"/>
    </w:rPr>
  </w:style>
  <w:style w:type="character" w:styleId="UnresolvedMention">
    <w:name w:val="Unresolved Mention"/>
    <w:basedOn w:val="DefaultParagraphFont"/>
    <w:uiPriority w:val="99"/>
    <w:semiHidden/>
    <w:unhideWhenUsed/>
    <w:rsid w:val="0050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lentandskills@gw4.ac.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C34AA97568C54A91293937B3897082" ma:contentTypeVersion="14" ma:contentTypeDescription="Create a new document." ma:contentTypeScope="" ma:versionID="81291c7041d1eec4914525ed049ceddf">
  <xsd:schema xmlns:xsd="http://www.w3.org/2001/XMLSchema" xmlns:xs="http://www.w3.org/2001/XMLSchema" xmlns:p="http://schemas.microsoft.com/office/2006/metadata/properties" xmlns:ns2="bc8aba95-579f-4c69-a66c-6438572b81bd" xmlns:ns3="57c13731-8478-4fd9-aeed-3fed1984e92e" targetNamespace="http://schemas.microsoft.com/office/2006/metadata/properties" ma:root="true" ma:fieldsID="5d5dc283851957c4e5eb4adb2f12eb6a" ns2:_="" ns3:_="">
    <xsd:import namespace="bc8aba95-579f-4c69-a66c-6438572b81bd"/>
    <xsd:import namespace="57c13731-8478-4fd9-aeed-3fed1984e9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aba95-579f-4c69-a66c-6438572b81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54ecea-4c58-4b7b-bf2a-1dd87d041af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c13731-8478-4fd9-aeed-3fed1984e9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d2188ca-d4ff-43db-aca2-9e53c4563a47}" ma:internalName="TaxCatchAll" ma:showField="CatchAllData" ma:web="57c13731-8478-4fd9-aeed-3fed1984e9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8aba95-579f-4c69-a66c-6438572b81bd">
      <Terms xmlns="http://schemas.microsoft.com/office/infopath/2007/PartnerControls"/>
    </lcf76f155ced4ddcb4097134ff3c332f>
    <TaxCatchAll xmlns="57c13731-8478-4fd9-aeed-3fed1984e92e" xsi:nil="true"/>
  </documentManagement>
</p:properties>
</file>

<file path=customXml/itemProps1.xml><?xml version="1.0" encoding="utf-8"?>
<ds:datastoreItem xmlns:ds="http://schemas.openxmlformats.org/officeDocument/2006/customXml" ds:itemID="{EAE88216-15A0-46BE-B49B-5ED4ED7D4D45}"/>
</file>

<file path=customXml/itemProps2.xml><?xml version="1.0" encoding="utf-8"?>
<ds:datastoreItem xmlns:ds="http://schemas.openxmlformats.org/officeDocument/2006/customXml" ds:itemID="{8F3F0E30-0392-4E09-AFA9-150178777F44}"/>
</file>

<file path=customXml/itemProps3.xml><?xml version="1.0" encoding="utf-8"?>
<ds:datastoreItem xmlns:ds="http://schemas.openxmlformats.org/officeDocument/2006/customXml" ds:itemID="{9F55A7B7-C6B7-4934-8BB8-2F41008D032A}"/>
</file>

<file path=docProps/app.xml><?xml version="1.0" encoding="utf-8"?>
<Properties xmlns="http://schemas.openxmlformats.org/officeDocument/2006/extended-properties" xmlns:vt="http://schemas.openxmlformats.org/officeDocument/2006/docPropsVTypes">
  <Template>Normal</Template>
  <TotalTime>11</TotalTime>
  <Pages>3</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Carr</dc:creator>
  <cp:keywords/>
  <dc:description/>
  <cp:lastModifiedBy>Sian Carr</cp:lastModifiedBy>
  <cp:revision>1</cp:revision>
  <dcterms:created xsi:type="dcterms:W3CDTF">2026-01-05T12:57:00Z</dcterms:created>
  <dcterms:modified xsi:type="dcterms:W3CDTF">2026-01-05T13:08:00Z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0x010100C4C34AA97568C54A91293937B3897082</vt:lpwstr>
  </property>
</Properties>
</file>